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E" w:rsidRPr="00016CFE" w:rsidRDefault="00016CFE" w:rsidP="00016CF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lang w:val="ru-RU" w:eastAsia="ru-RU"/>
        </w:rPr>
        <w:t xml:space="preserve">ПЕДАГОГИЧЕСКАЯ АКМЕОЛОГИЯ: </w:t>
      </w:r>
    </w:p>
    <w:p w:rsidR="00016CFE" w:rsidRPr="00016CFE" w:rsidRDefault="00016CFE" w:rsidP="00016CF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lang w:val="ru-RU" w:eastAsia="ru-RU"/>
        </w:rPr>
        <w:t>ПОИСКИ 21-ГО ВЕКА</w:t>
      </w:r>
    </w:p>
    <w:p w:rsidR="00016CFE" w:rsidRPr="00016CFE" w:rsidRDefault="00016CFE" w:rsidP="00016CFE">
      <w:pPr>
        <w:spacing w:after="0" w:line="252" w:lineRule="auto"/>
        <w:ind w:firstLine="35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Арутюнян Назик Карапетовна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ЕГУ, Армения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Варданян Ирина Карленовна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ЕГУ, Армения</w:t>
      </w:r>
    </w:p>
    <w:p w:rsidR="00016CFE" w:rsidRPr="00016CFE" w:rsidRDefault="00016CFE" w:rsidP="00016CFE">
      <w:pPr>
        <w:spacing w:after="0" w:line="252" w:lineRule="auto"/>
        <w:ind w:firstLine="35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Зрелость: возраст, когда ты уже достаточно стар,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чтобы знать, чего не следует делать,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и достаточно молод, чтобы это сделать.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Альбер Палле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Зрелость: возраст, когда мы все еще молоды,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но с гораздо большим трудом.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Янина Ипохарская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Зрелость была бы лучшим временем нашей жизни,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если бы у нас было время.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i/>
          <w:sz w:val="21"/>
          <w:szCs w:val="21"/>
          <w:lang w:val="ru-RU" w:eastAsia="ru-RU"/>
        </w:rPr>
        <w:t>Неизвестный автор</w:t>
      </w:r>
    </w:p>
    <w:p w:rsidR="00016CFE" w:rsidRPr="00016CFE" w:rsidRDefault="00016CFE" w:rsidP="00016CFE">
      <w:pPr>
        <w:spacing w:after="0" w:line="252" w:lineRule="auto"/>
        <w:ind w:firstLine="357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Переосмысление путей и перспектив дальнейшего развития личности возможно в рамках новых концепций образования. Под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готовка специалиста-профессионала основывается на стрем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лении к осмыслению прогнозированию будущего, как результат дости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жения максимального социального статуса в соответствую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щей 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циальной среде и определении личностью своей роли в этом про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цессе, так и достижении максимального профессио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ного мастер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ства.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Без разработки фундаментальных теоретических концепций образования сложно достигнуть конкретных эмпирических резу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татов. Новые концепции требуют формирования нового подхо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да к проблеме развития человека.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 последние годы стали развиваться и складываться новые научные направления – акмеология и синергетика, которые яв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ляют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ся теоретическим основанием акмесинергетического подхо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да развития личности человека и его трудовой деятельности.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”С самого начала культурного развития человечества склады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лись представления о развитии человека, высказывалась идея о том, что в развитии индивида есть некоторая вершинность, вы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сшая степень совершенства„.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1"/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Акмеология 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– наука о достижении вершин (гр. </w:t>
      </w:r>
      <w:r w:rsidRPr="00016CFE">
        <w:rPr>
          <w:rFonts w:ascii="Times New Roman" w:eastAsia="Times New Roman" w:hAnsi="Times New Roman" w:cs="Times New Roman"/>
          <w:i/>
          <w:sz w:val="21"/>
          <w:szCs w:val="21"/>
          <w:u w:val="single"/>
          <w:lang w:val="x-none" w:eastAsia="ru-RU"/>
        </w:rPr>
        <w:t>acme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– высшая степень чего-либо, вершина, цветущая сила + </w:t>
      </w:r>
      <w:r w:rsidRPr="00016CFE">
        <w:rPr>
          <w:rFonts w:ascii="Times New Roman" w:eastAsia="Times New Roman" w:hAnsi="Times New Roman" w:cs="Times New Roman"/>
          <w:i/>
          <w:sz w:val="21"/>
          <w:szCs w:val="21"/>
          <w:u w:val="single"/>
          <w:lang w:val="x-none" w:eastAsia="ru-RU"/>
        </w:rPr>
        <w:t>logos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- учение). Представления о развитии человека начали складываться еще в начале культурного развития человечества. Тогда предполага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лось, что в развитии индивида есть некая высшая ступень его совер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шенствования. В 144 году нашей эры именно эту вершину разви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тия, как кульминацию деятельности, представитель Алек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сад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рий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ской школы Апполодор назвал ”акме„. При этом под ”акме„ подра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зумевалось именно само состояние индивидуума, при котором достигается высший результат его деятельности, так на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зываемый звездный час, а не процесс движения к этому состоя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нию.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Акмеологию, как понятие, обозначающее психологию зре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ти или взрослости, ввел Н.А. Рыбников (1928), дальнейшее раз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тие акмеологии как науки связано с трудами Б.Г. Ананьева (”Че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век как предмет познания„, 1969) и продолжено А.А. Бо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левым (”Акмеология как учебная и научная дисциплина„, 1993).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Б.Г. Ананьев, А.А. Бодалев, А.А. Деркач, Н.В. Кузьмина наз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вали акмеологией науку, комплексно изучающую развитие взро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лого человека.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Интересные определения акмеологии: 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“Наука о закономерностях, условиях, факторах и стимулах, содействующих или препятствующих самореализации творче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ских потенциалов зрелых людей в процессе самодвижения к 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 xml:space="preserve">нам 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lastRenderedPageBreak/>
        <w:t>профессионализма и продуктивности созидательной дея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тель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ности, воплощаемой в социально значимых продуктах куль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туры, ис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кусства, литературы, науки, техники, образования, а так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же в самом человеке„ (Н.В. Кузьмина).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”Наука возникшая на стыке естественных, общественных, гу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нитарных и технических дисциплин и изучающая законо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сти и механизмы развития человека на ступени его зре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лости и особенно при достижении им наиболее высокого уровня в этом развитии„ (А.А. Деркач, А.А. Бодалев).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”Наука о достижении вершин в любом виде профессио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ной и социальной деятельности„ (А. Л. Вассоевич).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Поскольку акмеология – комплексная наука, к настоящему времени ею уже наработаны и обобщены значительные массивы данных, освещающих феноменологию, закономерности и меха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низ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 xml:space="preserve">мы движения к вершинам не индивидного и не личностного развития, а по существу – </w:t>
      </w: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профессионального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в различных сфе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рах профессиональной деятельности. Эти результаты, без сомне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ния, представляют интерес для педагогики.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Педагогическая акмеология – это наука о путях достижения профессионализма и компетентности в труде педагога.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Акмеологический подход в современной системе профессио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 xml:space="preserve">ного образования состоит в том, чтобы обеспечить </w:t>
      </w:r>
      <w:r w:rsidRPr="00016CFE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усиление 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профессиональной мотивации, стимулирование реализации твор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ческого потенциала, выявление и плодотворное использо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ние личностных ресурсов для достижения успеха в профес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нальной деятельности педагога.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Под ”акме„ в профессиональной деятельности подразуме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вается устойчиво успешный по получаемым результатам высокий уровень решения задач, составляющих содержание деятельности специа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листа в той или иной области.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Достижение ”акме„ – это результат взаимодействия многих объективных и субъективных условий и обстоятельств в жизни человека. Талант, способности, физическое и психическое здоро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вье могут быть рассмотрены как субъективные факторы, а усло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вия вос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питания, обучения, качество образования и другие – как объек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тив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ные факторы этого процесса.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 педагогической интерпретации акмеология является нау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кой, которая изучает развитие человека на ступене взрослости и дости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жения им вершины в развитии как природного существа (ин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да), личности и как субъекта деятельности (профессио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нала).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Каждый человек неповторимо индивидуален, у каждого из нас своя вершина, свой Олимп, и каждый по своему стремится к нему – кто-то стремительно взлетает на свой Олимп, а кто-то ”ка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рабкается по его каменистым тропам„. И поэтому, каждый чело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век - ”оли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мпиец„, благороден в своем устремлении к созданию са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мого себя – достижению своей вершины, своей осуществи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мости.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2"/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Для каждого человека высший уровень в его развитии, ко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торый приходится на какой-то временной отрезок его зрелости – его 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шина. Насколько оказывается высокой эта его ”вер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на„, нас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лько она содержательно многогранна и богата, насколько 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циа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льно велики и новаторски оригинальны результаты его дея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ний при достижении акме - это, конечно, зависит от особен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стей жиз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ного пути, который прошел человек до своего акме, а также, от 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циальной, экономической, политической, правовой, 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циально-пси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х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ологической ситуации, в которую он попадает, поднявшись на сту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пень зрелости. Но не в меньшей мере количественно-качествен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ные показатели его акме опре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ляются тем, какой у него успел об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разоваться кругозор, сфор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мироваться общий и специальный ин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тел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лект, сложиться нравст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ное ядро, развиться способности твор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 узком понимании предметом акмеологии является поиск за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номерностей саморазвития и самосовершенствования зрелой лич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ности, самореализации в разных сферах, а также самообра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зо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ния, самокоррекции и самоорганизации.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 широком понимании - процессы и механизмы совер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вания как индивида, индивидуальности, субъекта труда и личности в жизнидеятельности, профессии, общении, приводя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щие к опти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маль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ным путям самореализации.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Содержание педагогической акмеологии определяется сле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дую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щим:</w:t>
      </w:r>
    </w:p>
    <w:p w:rsidR="00016CFE" w:rsidRPr="00016CFE" w:rsidRDefault="00016CFE" w:rsidP="00016CFE">
      <w:pPr>
        <w:numPr>
          <w:ilvl w:val="0"/>
          <w:numId w:val="1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lastRenderedPageBreak/>
        <w:t>Спецификой</w:t>
      </w:r>
      <w:proofErr w:type="spellEnd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 xml:space="preserve"> </w:t>
      </w:r>
      <w:proofErr w:type="spellStart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профессионализма</w:t>
      </w:r>
      <w:proofErr w:type="spellEnd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 xml:space="preserve"> </w:t>
      </w:r>
      <w:proofErr w:type="spellStart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педагога</w:t>
      </w:r>
      <w:proofErr w:type="spellEnd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;</w:t>
      </w:r>
    </w:p>
    <w:p w:rsidR="00016CFE" w:rsidRPr="00016CFE" w:rsidRDefault="00016CFE" w:rsidP="00016CFE">
      <w:pPr>
        <w:numPr>
          <w:ilvl w:val="0"/>
          <w:numId w:val="1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Своеобразием сочетания объекта, условий, способов и тех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нологий деятельности, результатов научных исследо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ний, которые накапливаются в труде педагога.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Одно из центральных понятий педагогической акмеологии – понятие профессионализма педагога. Под ним понимается ин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тегральная хар</w:t>
      </w:r>
      <w:proofErr w:type="spellStart"/>
      <w:r w:rsidRPr="00016CFE"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a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ктеристика</w:t>
      </w:r>
      <w:proofErr w:type="spellEnd"/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личности педагога, предполагающая владение им несколькими видами профессиональной деятельно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сти и наличие у педагога сочетания профессионально важных пси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хологических качеств, которые обеспечивают эффективное ре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ние профессиональных педагогических задач по обучению и воспи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танию обучающихся.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3"/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Профессионализм с позиции акмеологии – это свойство само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развивающейся личности, осуществляющей движение к ”акме„ или к вершине мастерства в профессии. Акмеология изучает ос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ные подходы к развитию профессионала, а также те факторы, условия, механизмы, которые определяют успешность совершен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ствования и самосовершенствования личности, полноту ее само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реа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лизации в про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фессии и в жизни в целом. И когда имеется ввиду высокий про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фес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сионализм человека, то с ним связываются как яркое развитие способности, так и глубокие и широкие зна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ния в той области деятельности, в которой этот профессионализм проявляется, а также нестандартное владение умениями, которые необходимы для успешного выполнения этой деятельности.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По мнению А.К. Марковой, профессионализм педагога дол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жен соответствовать ряду критериям, среди которых: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4"/>
      </w:r>
    </w:p>
    <w:p w:rsidR="00016CFE" w:rsidRPr="00016CFE" w:rsidRDefault="00016CFE" w:rsidP="00016CFE">
      <w:pPr>
        <w:numPr>
          <w:ilvl w:val="0"/>
          <w:numId w:val="2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объективные критерии: эффективность педагогической дея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тель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ности,</w:t>
      </w:r>
    </w:p>
    <w:p w:rsidR="00016CFE" w:rsidRPr="00016CFE" w:rsidRDefault="00016CFE" w:rsidP="00016CFE">
      <w:pPr>
        <w:numPr>
          <w:ilvl w:val="0"/>
          <w:numId w:val="2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субъективные критерии: устойчивая педагогическая на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прав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ленность, понимание ценностных ориентаций про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фес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сии педагога, позитивное отношение к себе как про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фес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сионалу, удовлетворенность трудом,</w:t>
      </w:r>
    </w:p>
    <w:p w:rsidR="00016CFE" w:rsidRPr="00016CFE" w:rsidRDefault="00016CFE" w:rsidP="00016CFE">
      <w:pPr>
        <w:numPr>
          <w:ilvl w:val="0"/>
          <w:numId w:val="2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процессуальные критерии: использование педагогом 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циально приемлемых, гуманистически направленных спо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бов, технологий в своем труде,</w:t>
      </w:r>
    </w:p>
    <w:p w:rsidR="00016CFE" w:rsidRPr="00016CFE" w:rsidRDefault="00016CFE" w:rsidP="00016CFE">
      <w:pPr>
        <w:numPr>
          <w:ilvl w:val="0"/>
          <w:numId w:val="2"/>
        </w:numPr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результативные критерии: достижение в педагогическом труде результатов, востребованных обществом.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Уровни профессионализма педагога представляют собой сту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пени, этапы его движения к высоким показателям педагоги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чес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кого труда:</w:t>
      </w:r>
    </w:p>
    <w:p w:rsidR="00016CFE" w:rsidRPr="00016CFE" w:rsidRDefault="00016CFE" w:rsidP="00016CFE">
      <w:pPr>
        <w:numPr>
          <w:ilvl w:val="0"/>
          <w:numId w:val="3"/>
        </w:num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уровень овладения профессией, адаптация к ней, первич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ное усвоение педагогом норм, необходимых приемов, техно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гий;</w:t>
      </w:r>
    </w:p>
    <w:p w:rsidR="00016CFE" w:rsidRPr="00016CFE" w:rsidRDefault="00016CFE" w:rsidP="00016CFE">
      <w:pPr>
        <w:numPr>
          <w:ilvl w:val="0"/>
          <w:numId w:val="3"/>
        </w:num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уровень педагогического мастерства как выполнение на хо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рошем уровне лучших образцов передового педагогического опы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та, накопленных в профессии; имеющимися в профессии прие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мами ин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дивидуального подхода к обучаемым, методами передачи зна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ний; осуществления личностно-ориентированного обучения и др.;</w:t>
      </w:r>
    </w:p>
    <w:p w:rsidR="00016CFE" w:rsidRPr="00016CFE" w:rsidRDefault="00016CFE" w:rsidP="00016CFE">
      <w:pPr>
        <w:numPr>
          <w:ilvl w:val="0"/>
          <w:numId w:val="3"/>
        </w:num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уровень самоактуализации педагога в профессии;</w:t>
      </w:r>
    </w:p>
    <w:p w:rsidR="00016CFE" w:rsidRPr="00016CFE" w:rsidRDefault="00016CFE" w:rsidP="00016CFE">
      <w:pPr>
        <w:numPr>
          <w:ilvl w:val="0"/>
          <w:numId w:val="3"/>
        </w:num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уровень педагогического творчества как обогащение пе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гогическим опытом своей профессии за счет личного твор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чес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кого вклада, внесения авторских предложений.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Человек с позиции теории самоорганизации (В.П. Бранский, С.Д. Пожарский) рассматривается как диссипативная структура, существующая за счет постоянного обмена с окружающей средой веществом, энергией и информацией. Цель любой диссипатив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ной структуры – это достижение максимально возможного устой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чивого состояния в контексте тех условий среды, в которых она на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хо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дится.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5"/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Самоорганизация человека на пути к ”Акме„ выглядит мно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го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этап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ным процессом. В общем виде она складывается из процес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сов самоподготовки и самореализации.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Самоподготовка, в свою очередь, состоит из самообразования и самовоспитания.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После того, как у человека сформировались необходимые для жизни знания, умения, навыки и система нравственных ориен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тиров, начинается процесс самореализации.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Самореализация также двухкомпонентна и включает са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вы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ра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жение и самоутверждение.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lastRenderedPageBreak/>
        <w:t>Самовыражение – это последовательное продвижение к 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нам профессионального мастерства. На этом этапе человек прояв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ляет себя как творец и создатель значимых для него цен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ностей.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Продукты деятельности человека на этапе самоутверждения ис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пытывают оценку социума (значимы ли эти продукты для об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щества?).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 идеальном случае максимум самовыражения (профессио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наль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ное ”Акме„) должен сойтись с максимумом самоутверждения (социальное акме). Высокий профессионализм должен быть по достоинству высоко оценен, но в реальности это бывает далеко не всегда.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При характеристике педагогической акмеологии, необхо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ди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мо учитывать также положение Э.Фромма о принципиальной неза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вер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шенности человеческого становления. ”Трагедия челове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ка, - писал великий гуманист 20-го столетия, - заключается в том, что его развитие никогда не завершается, даже при наиболее бла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го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приятных условиях человек реализует лишь часть своих воз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мож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но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стей, ибо он успевает умереть, прежде чем полностью ро</w:t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softHyphen/>
        <w:t>диться„.</w:t>
      </w:r>
      <w:r w:rsidRPr="00016CFE">
        <w:rPr>
          <w:rFonts w:ascii="Times New Roman" w:eastAsia="Times New Roman" w:hAnsi="Times New Roman" w:cs="Times New Roman"/>
          <w:sz w:val="21"/>
          <w:szCs w:val="21"/>
          <w:vertAlign w:val="superscript"/>
          <w:lang w:val="ru-RU" w:eastAsia="ru-RU"/>
        </w:rPr>
        <w:footnoteReference w:id="6"/>
      </w: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</w:p>
    <w:p w:rsidR="00016CFE" w:rsidRPr="00016CFE" w:rsidRDefault="00016CFE" w:rsidP="00016CF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16CF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Что это нам дает? Прежде всего, понимание того, что ”акме„ – высшая ступень развития – является точно также относительной категорией, как и все в мире. Стремиться к вершине надо, но при этом не на одну секунду нельзя допускать соблазна подумать, что мы ее достигнем. Тем более, что мы никогда не узнаем, на какой высоте располагается наша вершина.</w:t>
      </w:r>
    </w:p>
    <w:p w:rsidR="00016CFE" w:rsidRPr="00016CFE" w:rsidRDefault="00016CFE" w:rsidP="00016C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016CFE" w:rsidRPr="00016CFE" w:rsidRDefault="00016CFE" w:rsidP="0001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b/>
          <w:sz w:val="19"/>
          <w:szCs w:val="19"/>
        </w:rPr>
        <w:t xml:space="preserve">PEDAGOGICAL ACMEOLOGY: </w:t>
      </w:r>
    </w:p>
    <w:p w:rsidR="00016CFE" w:rsidRPr="00016CFE" w:rsidRDefault="00016CFE" w:rsidP="0001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b/>
          <w:sz w:val="19"/>
          <w:szCs w:val="19"/>
        </w:rPr>
        <w:t>SEARCHES OF THE 21ST CENTURY</w:t>
      </w:r>
    </w:p>
    <w:p w:rsidR="00016CFE" w:rsidRPr="00016CFE" w:rsidRDefault="00016CFE" w:rsidP="0001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:rsidR="00016CFE" w:rsidRPr="00016CFE" w:rsidRDefault="00016CFE" w:rsidP="0001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proofErr w:type="spellStart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>Nazik</w:t>
      </w:r>
      <w:proofErr w:type="spellEnd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>Harutyunyan</w:t>
      </w:r>
      <w:proofErr w:type="spellEnd"/>
    </w:p>
    <w:p w:rsidR="00016CFE" w:rsidRPr="00016CFE" w:rsidRDefault="00016CFE" w:rsidP="0001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b/>
          <w:sz w:val="19"/>
          <w:szCs w:val="19"/>
        </w:rPr>
        <w:t>YSU, Armenia</w:t>
      </w:r>
    </w:p>
    <w:p w:rsidR="00016CFE" w:rsidRPr="00016CFE" w:rsidRDefault="00016CFE" w:rsidP="0001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proofErr w:type="spellStart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>Narine</w:t>
      </w:r>
      <w:proofErr w:type="spellEnd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016CFE">
        <w:rPr>
          <w:rFonts w:ascii="Times New Roman" w:eastAsia="Times New Roman" w:hAnsi="Times New Roman" w:cs="Times New Roman"/>
          <w:b/>
          <w:i/>
          <w:sz w:val="19"/>
          <w:szCs w:val="19"/>
        </w:rPr>
        <w:t>Vardanyan</w:t>
      </w:r>
      <w:proofErr w:type="spellEnd"/>
    </w:p>
    <w:p w:rsidR="00016CFE" w:rsidRPr="00016CFE" w:rsidRDefault="00016CFE" w:rsidP="0001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b/>
          <w:sz w:val="19"/>
          <w:szCs w:val="19"/>
        </w:rPr>
        <w:t>YSU, Armenia</w:t>
      </w:r>
    </w:p>
    <w:p w:rsidR="00016CFE" w:rsidRPr="00016CFE" w:rsidRDefault="00016CFE" w:rsidP="0001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b/>
          <w:sz w:val="19"/>
          <w:szCs w:val="19"/>
        </w:rPr>
        <w:t xml:space="preserve"> Abstract</w:t>
      </w:r>
    </w:p>
    <w:p w:rsidR="00016CFE" w:rsidRPr="00016CFE" w:rsidRDefault="00016CFE" w:rsidP="0001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016CFE" w:rsidRPr="00016CFE" w:rsidRDefault="00016CFE" w:rsidP="00016CF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sz w:val="19"/>
          <w:szCs w:val="19"/>
        </w:rPr>
        <w:t xml:space="preserve">The present article discusses </w:t>
      </w:r>
      <w:proofErr w:type="spellStart"/>
      <w:r w:rsidRPr="00016CFE">
        <w:rPr>
          <w:rFonts w:ascii="Times New Roman" w:eastAsia="Times New Roman" w:hAnsi="Times New Roman" w:cs="Times New Roman"/>
          <w:sz w:val="19"/>
          <w:szCs w:val="19"/>
        </w:rPr>
        <w:t>acmeology</w:t>
      </w:r>
      <w:proofErr w:type="spellEnd"/>
      <w:r w:rsidRPr="00016CFE">
        <w:rPr>
          <w:rFonts w:ascii="Times New Roman" w:eastAsia="Times New Roman" w:hAnsi="Times New Roman" w:cs="Times New Roman"/>
          <w:sz w:val="19"/>
          <w:szCs w:val="19"/>
        </w:rPr>
        <w:t xml:space="preserve">, as science to reach the peak of the mountain of professionalism, as well as its origin and development. The research object of pedagogical </w:t>
      </w:r>
      <w:proofErr w:type="spellStart"/>
      <w:r w:rsidRPr="00016CFE">
        <w:rPr>
          <w:rFonts w:ascii="Times New Roman" w:eastAsia="Times New Roman" w:hAnsi="Times New Roman" w:cs="Times New Roman"/>
          <w:sz w:val="19"/>
          <w:szCs w:val="19"/>
        </w:rPr>
        <w:t>acmeology</w:t>
      </w:r>
      <w:proofErr w:type="spellEnd"/>
      <w:r w:rsidRPr="00016CFE">
        <w:rPr>
          <w:rFonts w:ascii="Times New Roman" w:eastAsia="Times New Roman" w:hAnsi="Times New Roman" w:cs="Times New Roman"/>
          <w:sz w:val="19"/>
          <w:szCs w:val="19"/>
        </w:rPr>
        <w:t>, subject, content, concepts, criteria of pedagogue’s professionalism, and levels are thoroughly analyzed. In the present article, self-organization is observed as multi-phase process including self-preparation and self-realization according to the theory of self-organization. It is also mentioned that self-preparation consists of two components such as self-education and self-upbringing. Two components of self-realization such as self-expression and self-affirmation are also touched upon.</w:t>
      </w:r>
    </w:p>
    <w:p w:rsidR="00016CFE" w:rsidRPr="00016CFE" w:rsidRDefault="00016CFE" w:rsidP="00016CF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CFE">
        <w:rPr>
          <w:rFonts w:ascii="Times New Roman" w:eastAsia="Times New Roman" w:hAnsi="Times New Roman" w:cs="Times New Roman"/>
          <w:sz w:val="19"/>
          <w:szCs w:val="19"/>
        </w:rPr>
        <w:t xml:space="preserve">The article concludes that in the ideal variant, maximum of self-expression, which is a professional “acme”, must coincide with maximum of self-affirmation, which is a social “acme”. Therefore, the highest professionalism should be estimated respectively, however, in real life it is of rare happening. </w:t>
      </w:r>
    </w:p>
    <w:p w:rsidR="00016CFE" w:rsidRPr="00016CFE" w:rsidRDefault="00016CFE" w:rsidP="00016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</w:p>
    <w:p w:rsidR="00016CFE" w:rsidRPr="00016CFE" w:rsidRDefault="00016CFE" w:rsidP="0001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proofErr w:type="spellStart"/>
      <w:r w:rsidRPr="00016C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Литература</w:t>
      </w:r>
      <w:proofErr w:type="spellEnd"/>
    </w:p>
    <w:p w:rsidR="00016CFE" w:rsidRPr="00016CFE" w:rsidRDefault="00016CFE" w:rsidP="00016C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19"/>
          <w:lang w:val="x-none" w:eastAsia="ru-RU"/>
        </w:rPr>
      </w:pP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Ананьев Б.Г., Человек как предмет познания, Л., 1969, стр. 41</w:t>
      </w: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Бранский В.П., Пожарский С.Д., Социальная синергетика и акмеология, СПБ, 2001, стр. 186</w:t>
      </w: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Маркова А.К., Психология профессионализма, М., 1996, стр. 124</w:t>
      </w: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Маркова А.К., Психология профессионализма, М., 1996, стр. 67</w:t>
      </w: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Педагогическая акмеология, Коллективная монография, Екатеренбург, 2012, стр.9</w:t>
      </w:r>
    </w:p>
    <w:p w:rsidR="00016CFE" w:rsidRPr="00016CFE" w:rsidRDefault="00016CFE" w:rsidP="00016CF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19"/>
          <w:szCs w:val="19"/>
          <w:lang w:val="ru-RU" w:eastAsia="x-none"/>
        </w:rPr>
      </w:pPr>
      <w:r w:rsidRPr="00016CFE">
        <w:rPr>
          <w:rFonts w:ascii="Times New Roman" w:eastAsia="Calibri" w:hAnsi="Times New Roman" w:cs="Times New Roman"/>
          <w:sz w:val="19"/>
          <w:szCs w:val="19"/>
          <w:lang w:val="ru-RU" w:eastAsia="x-none"/>
        </w:rPr>
        <w:t>Фромм Э., Психоанализ и этика, 1993, стр.216</w:t>
      </w:r>
    </w:p>
    <w:p w:rsidR="00016CFE" w:rsidRPr="00016CFE" w:rsidRDefault="00016CFE" w:rsidP="00016CFE">
      <w:pPr>
        <w:spacing w:after="0" w:line="264" w:lineRule="auto"/>
        <w:rPr>
          <w:rFonts w:ascii="Sylfaen" w:eastAsia="Calibri" w:hAnsi="Sylfaen" w:cs="Times New Roman"/>
          <w:sz w:val="19"/>
          <w:szCs w:val="19"/>
          <w:lang w:val="ru-RU" w:eastAsia="x-none"/>
        </w:rPr>
      </w:pPr>
    </w:p>
    <w:p w:rsidR="00FD3184" w:rsidRPr="00016CFE" w:rsidRDefault="00FD3184">
      <w:pPr>
        <w:rPr>
          <w:lang w:val="ru-RU"/>
        </w:rPr>
      </w:pPr>
      <w:bookmarkStart w:id="0" w:name="_GoBack"/>
      <w:bookmarkEnd w:id="0"/>
    </w:p>
    <w:sectPr w:rsidR="00FD3184" w:rsidRPr="0001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0D" w:rsidRDefault="00F1630D" w:rsidP="00016CFE">
      <w:pPr>
        <w:spacing w:after="0" w:line="240" w:lineRule="auto"/>
      </w:pPr>
      <w:r>
        <w:separator/>
      </w:r>
    </w:p>
  </w:endnote>
  <w:endnote w:type="continuationSeparator" w:id="0">
    <w:p w:rsidR="00F1630D" w:rsidRDefault="00F1630D" w:rsidP="000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0D" w:rsidRDefault="00F1630D" w:rsidP="00016CFE">
      <w:pPr>
        <w:spacing w:after="0" w:line="240" w:lineRule="auto"/>
      </w:pPr>
      <w:r>
        <w:separator/>
      </w:r>
    </w:p>
  </w:footnote>
  <w:footnote w:type="continuationSeparator" w:id="0">
    <w:p w:rsidR="00F1630D" w:rsidRDefault="00F1630D" w:rsidP="00016CFE">
      <w:pPr>
        <w:spacing w:after="0" w:line="240" w:lineRule="auto"/>
      </w:pPr>
      <w:r>
        <w:continuationSeparator/>
      </w:r>
    </w:p>
  </w:footnote>
  <w:footnote w:id="1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Ананьев Б.Г., Человек как предмет познания, Л., 1969, стр. 41</w:t>
      </w:r>
    </w:p>
  </w:footnote>
  <w:footnote w:id="2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Педагогическая акмеология, Коллективная монография, Екатеренбург, 2012, стр.9</w:t>
      </w:r>
    </w:p>
  </w:footnote>
  <w:footnote w:id="3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Маркова А.К., Психология профессионализма, М., 1996, стр. 67</w:t>
      </w:r>
    </w:p>
  </w:footnote>
  <w:footnote w:id="4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Маркова А.К., Психология профессионализма, М., 1996, стр. 124</w:t>
      </w:r>
    </w:p>
  </w:footnote>
  <w:footnote w:id="5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Бранский В.П., Пожарский С.Д., Социальная синергетика и акмеология, СПБ, 2001, стр. 186</w:t>
      </w:r>
    </w:p>
  </w:footnote>
  <w:footnote w:id="6">
    <w:p w:rsidR="00016CFE" w:rsidRPr="00016CFE" w:rsidRDefault="00016CFE" w:rsidP="00016CFE">
      <w:pPr>
        <w:pStyle w:val="FootnoteText"/>
        <w:rPr>
          <w:sz w:val="17"/>
          <w:szCs w:val="17"/>
          <w:lang w:val="ru-RU"/>
        </w:rPr>
      </w:pPr>
      <w:r w:rsidRPr="00B414F2">
        <w:rPr>
          <w:rStyle w:val="FootnoteReference"/>
          <w:sz w:val="17"/>
          <w:szCs w:val="17"/>
        </w:rPr>
        <w:footnoteRef/>
      </w:r>
      <w:r w:rsidRPr="00016CFE">
        <w:rPr>
          <w:sz w:val="17"/>
          <w:szCs w:val="17"/>
          <w:lang w:val="ru-RU"/>
        </w:rPr>
        <w:t xml:space="preserve"> Фромм Э., Психоанализ и этика, 1993, стр.216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8BA"/>
    <w:multiLevelType w:val="hybridMultilevel"/>
    <w:tmpl w:val="D20218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CCE45DD"/>
    <w:multiLevelType w:val="hybridMultilevel"/>
    <w:tmpl w:val="4090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29D6"/>
    <w:multiLevelType w:val="hybridMultilevel"/>
    <w:tmpl w:val="674423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DA1049D"/>
    <w:multiLevelType w:val="hybridMultilevel"/>
    <w:tmpl w:val="40B262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A"/>
    <w:rsid w:val="00016CFE"/>
    <w:rsid w:val="004A574A"/>
    <w:rsid w:val="00F1630D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E8A4-C0A6-4AF5-8690-7E738CB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6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CFE"/>
    <w:rPr>
      <w:sz w:val="20"/>
      <w:szCs w:val="20"/>
    </w:rPr>
  </w:style>
  <w:style w:type="character" w:styleId="FootnoteReference">
    <w:name w:val="footnote reference"/>
    <w:uiPriority w:val="99"/>
    <w:unhideWhenUsed/>
    <w:rsid w:val="00016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2017-10-17T00:34:00Z</dcterms:created>
  <dcterms:modified xsi:type="dcterms:W3CDTF">2017-10-17T00:35:00Z</dcterms:modified>
</cp:coreProperties>
</file>